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C.R. COLLEGE OF EDUCATION HISAR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HOUSE EXAMINATION MAY 2025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Pedagogy of physical science BED-115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M.M 70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Time:3 Hours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short notes on the following:       3.5x4=14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responsibilities of a physical science teacher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Science magazine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as a universal solvent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Grading pattern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             Unit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 What are the aims and objectives of Teaching physical science at secondary level?                                           14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                          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write short notes on the following: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a.Need for professional orientation                                   7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b.Bloom taxonomy.                                                           7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         Unit 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 Define problem solving method. Explain its steps with an example from Physical science.                                      14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                   OR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How science can be popularized through science exhibitions, trips, and science quiz?                                 14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                   Unit 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6. What is pedagogical analysis ? Pedagogically  analyse “Magnetism“?                                                                    14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                         OR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7. How pedagogical analysis is different from content analysis? Discuss stages involved in the task of pedagogical analysis. Measure.                                   14    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                        Unit 4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8. Differentiate between “measurement” and “ evaluation”. Explain formative and summative evaluation.                14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                          OR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Explain the following: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Qualities of a good test.                                      7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Diagnostic testing and remedial teaching.          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